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s>
        <w:jc w:val="center"/>
        <w:rPr>
          <w:rFonts w:hint="default" w:ascii="仿宋" w:hAnsi="仿宋" w:cs="仿宋_GB2312" w:eastAsiaTheme="majorEastAsia"/>
          <w:b/>
          <w:bCs/>
          <w:color w:val="000000" w:themeColor="text1"/>
          <w:kern w:val="0"/>
          <w:sz w:val="30"/>
          <w:szCs w:val="30"/>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34"/>
          <w:szCs w:val="34"/>
          <w14:textFill>
            <w14:solidFill>
              <w14:schemeClr w14:val="tx1"/>
            </w14:solidFill>
          </w14:textFill>
        </w:rPr>
        <w:t>关于举办社科奖第</w:t>
      </w:r>
      <w:r>
        <w:rPr>
          <w:rFonts w:hint="eastAsia" w:asciiTheme="majorEastAsia" w:hAnsiTheme="majorEastAsia" w:eastAsiaTheme="majorEastAsia" w:cstheme="majorEastAsia"/>
          <w:b/>
          <w:bCs/>
          <w:color w:val="000000" w:themeColor="text1"/>
          <w:kern w:val="0"/>
          <w:sz w:val="34"/>
          <w:szCs w:val="34"/>
          <w:lang w:eastAsia="zh-CN"/>
          <w14:textFill>
            <w14:solidFill>
              <w14:schemeClr w14:val="tx1"/>
            </w14:solidFill>
          </w14:textFill>
        </w:rPr>
        <w:t>十五届</w:t>
      </w:r>
      <w:r>
        <w:rPr>
          <w:rFonts w:hint="eastAsia" w:asciiTheme="majorEastAsia" w:hAnsiTheme="majorEastAsia" w:eastAsiaTheme="majorEastAsia" w:cstheme="majorEastAsia"/>
          <w:b/>
          <w:bCs/>
          <w:color w:val="000000" w:themeColor="text1"/>
          <w:kern w:val="0"/>
          <w:sz w:val="34"/>
          <w:szCs w:val="34"/>
          <w14:textFill>
            <w14:solidFill>
              <w14:schemeClr w14:val="tx1"/>
            </w14:solidFill>
          </w14:textFill>
        </w:rPr>
        <w:t>全国高校市场营销大赛总决赛</w:t>
      </w:r>
      <w:r>
        <w:rPr>
          <w:rFonts w:hint="eastAsia" w:asciiTheme="majorEastAsia" w:hAnsiTheme="majorEastAsia" w:eastAsiaTheme="majorEastAsia" w:cstheme="majorEastAsia"/>
          <w:b/>
          <w:bCs/>
          <w:color w:val="000000" w:themeColor="text1"/>
          <w:kern w:val="0"/>
          <w:sz w:val="34"/>
          <w:szCs w:val="34"/>
          <w:lang w:val="en-US" w:eastAsia="zh-CN"/>
          <w14:textFill>
            <w14:solidFill>
              <w14:schemeClr w14:val="tx1"/>
            </w14:solidFill>
          </w14:textFill>
        </w:rPr>
        <w:t>具体安排</w:t>
      </w:r>
    </w:p>
    <w:p>
      <w:pPr>
        <w:numPr>
          <w:ilvl w:val="0"/>
          <w:numId w:val="1"/>
        </w:numPr>
        <w:tabs>
          <w:tab w:val="left" w:pos="5670"/>
        </w:tabs>
        <w:rPr>
          <w:rFonts w:hint="eastAsia" w:ascii="仿宋" w:hAnsi="仿宋" w:eastAsia="仿宋" w:cs="仿宋_GB2312"/>
          <w:b/>
          <w:bCs/>
          <w:color w:val="000000" w:themeColor="text1"/>
          <w:kern w:val="0"/>
          <w:sz w:val="30"/>
          <w:szCs w:val="30"/>
          <w:lang w:val="en-US" w:eastAsia="zh-CN"/>
          <w14:textFill>
            <w14:solidFill>
              <w14:schemeClr w14:val="tx1"/>
            </w14:solidFill>
          </w14:textFill>
        </w:rPr>
      </w:pPr>
      <w:r>
        <w:rPr>
          <w:rFonts w:hint="eastAsia" w:ascii="仿宋" w:hAnsi="仿宋" w:eastAsia="仿宋" w:cs="仿宋_GB2312"/>
          <w:b/>
          <w:bCs/>
          <w:color w:val="000000" w:themeColor="text1"/>
          <w:kern w:val="0"/>
          <w:sz w:val="30"/>
          <w:szCs w:val="30"/>
          <w:lang w:val="en-US" w:eastAsia="zh-CN"/>
          <w14:textFill>
            <w14:solidFill>
              <w14:schemeClr w14:val="tx1"/>
            </w14:solidFill>
          </w14:textFill>
        </w:rPr>
        <w:t>时间及形式</w:t>
      </w:r>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bookmarkStart w:id="0" w:name="OLE_LINK2"/>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晋级团队线上答辩:2024年6月1日</w:t>
      </w:r>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专本科特等奖线上答辩: 2024年6月2日</w:t>
      </w:r>
      <w:bookmarkEnd w:id="0"/>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答辩形式:将由评审委员会根据各参赛团队策划项目介绍、PPT路演及其它形式提问题，根据答辩表现进行综合打分。</w:t>
      </w:r>
    </w:p>
    <w:p>
      <w:pPr>
        <w:numPr>
          <w:ilvl w:val="0"/>
          <w:numId w:val="1"/>
        </w:numPr>
        <w:tabs>
          <w:tab w:val="left" w:pos="5670"/>
        </w:tabs>
        <w:rPr>
          <w:rFonts w:hint="eastAsia" w:ascii="仿宋" w:hAnsi="仿宋" w:eastAsia="仿宋" w:cs="仿宋_GB2312"/>
          <w:b/>
          <w:bCs/>
          <w:color w:val="000000" w:themeColor="text1"/>
          <w:kern w:val="0"/>
          <w:sz w:val="30"/>
          <w:szCs w:val="30"/>
          <w:lang w:val="en-US" w:eastAsia="zh-CN"/>
          <w14:textFill>
            <w14:solidFill>
              <w14:schemeClr w14:val="tx1"/>
            </w14:solidFill>
          </w14:textFill>
        </w:rPr>
      </w:pPr>
      <w:r>
        <w:rPr>
          <w:rFonts w:hint="eastAsia" w:ascii="仿宋" w:hAnsi="仿宋" w:eastAsia="仿宋" w:cs="仿宋_GB2312"/>
          <w:b/>
          <w:bCs/>
          <w:color w:val="000000" w:themeColor="text1"/>
          <w:kern w:val="0"/>
          <w:sz w:val="30"/>
          <w:szCs w:val="30"/>
          <w:lang w:val="en-US" w:eastAsia="zh-CN"/>
          <w14:textFill>
            <w14:solidFill>
              <w14:schemeClr w14:val="tx1"/>
            </w14:solidFill>
          </w14:textFill>
        </w:rPr>
        <w:t>作品提交</w:t>
      </w:r>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线上作品提交:请晋级总决赛团队在5月25日至5月30日17点前提交作品。</w:t>
      </w:r>
    </w:p>
    <w:p>
      <w:pPr>
        <w:numPr>
          <w:ilvl w:val="0"/>
          <w:numId w:val="1"/>
        </w:numPr>
        <w:tabs>
          <w:tab w:val="left" w:pos="5670"/>
        </w:tabs>
        <w:rPr>
          <w:rFonts w:hint="eastAsia" w:ascii="仿宋" w:hAnsi="仿宋" w:eastAsia="仿宋" w:cs="仿宋_GB2312"/>
          <w:b/>
          <w:bCs/>
          <w:color w:val="000000" w:themeColor="text1"/>
          <w:kern w:val="0"/>
          <w:sz w:val="30"/>
          <w:szCs w:val="30"/>
          <w:lang w:val="en-US" w:eastAsia="zh-CN"/>
          <w14:textFill>
            <w14:solidFill>
              <w14:schemeClr w14:val="tx1"/>
            </w14:solidFill>
          </w14:textFill>
        </w:rPr>
      </w:pPr>
      <w:r>
        <w:rPr>
          <w:rFonts w:hint="eastAsia" w:ascii="仿宋" w:hAnsi="仿宋" w:eastAsia="仿宋" w:cs="仿宋_GB2312"/>
          <w:b/>
          <w:bCs/>
          <w:color w:val="000000" w:themeColor="text1"/>
          <w:kern w:val="0"/>
          <w:sz w:val="30"/>
          <w:szCs w:val="30"/>
          <w:lang w:val="en-US" w:eastAsia="zh-CN"/>
          <w14:textFill>
            <w14:solidFill>
              <w14:schemeClr w14:val="tx1"/>
            </w14:solidFill>
          </w14:textFill>
        </w:rPr>
        <w:t>答辩分组表</w:t>
      </w:r>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见附件2。</w:t>
      </w:r>
    </w:p>
    <w:p>
      <w:pPr>
        <w:numPr>
          <w:ilvl w:val="0"/>
          <w:numId w:val="0"/>
        </w:numPr>
        <w:tabs>
          <w:tab w:val="left" w:pos="5670"/>
        </w:tabs>
        <w:rPr>
          <w:rFonts w:hint="eastAsia" w:ascii="仿宋" w:hAnsi="仿宋" w:eastAsia="仿宋" w:cs="仿宋_GB2312"/>
          <w:b/>
          <w:bCs/>
          <w:color w:val="000000" w:themeColor="text1"/>
          <w:kern w:val="0"/>
          <w:sz w:val="30"/>
          <w:szCs w:val="30"/>
          <w:lang w:val="en-US" w:eastAsia="zh-CN"/>
          <w14:textFill>
            <w14:solidFill>
              <w14:schemeClr w14:val="tx1"/>
            </w14:solidFill>
          </w14:textFill>
        </w:rPr>
      </w:pPr>
      <w:r>
        <w:rPr>
          <w:rFonts w:hint="eastAsia" w:ascii="仿宋" w:hAnsi="仿宋" w:eastAsia="仿宋" w:cs="仿宋_GB2312"/>
          <w:b/>
          <w:bCs/>
          <w:color w:val="000000" w:themeColor="text1"/>
          <w:kern w:val="0"/>
          <w:sz w:val="30"/>
          <w:szCs w:val="30"/>
          <w:lang w:val="en-US" w:eastAsia="zh-CN"/>
          <w14:textFill>
            <w14:solidFill>
              <w14:schemeClr w14:val="tx1"/>
            </w14:solidFill>
          </w14:textFill>
        </w:rPr>
        <w:t>四、远程答辩</w:t>
      </w:r>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本次线上答辩采用腾讯会议客户端，请提前下载最新版腾讯会议电脑客户端，答辩测试需在5月31日前完成，具体时间根据各群负责老师统一安排。</w:t>
      </w:r>
    </w:p>
    <w:p>
      <w:pPr>
        <w:numPr>
          <w:ilvl w:val="0"/>
          <w:numId w:val="0"/>
        </w:numPr>
        <w:tabs>
          <w:tab w:val="left" w:pos="5670"/>
        </w:tabs>
        <w:rPr>
          <w:rFonts w:hint="eastAsia" w:ascii="仿宋" w:hAnsi="仿宋" w:eastAsia="仿宋" w:cs="仿宋_GB2312"/>
          <w:b/>
          <w:bCs/>
          <w:color w:val="000000" w:themeColor="text1"/>
          <w:kern w:val="0"/>
          <w:sz w:val="30"/>
          <w:szCs w:val="30"/>
          <w:lang w:val="en-US" w:eastAsia="zh-CN"/>
          <w14:textFill>
            <w14:solidFill>
              <w14:schemeClr w14:val="tx1"/>
            </w14:solidFill>
          </w14:textFill>
        </w:rPr>
      </w:pPr>
      <w:r>
        <w:rPr>
          <w:rFonts w:hint="eastAsia" w:ascii="仿宋" w:hAnsi="仿宋" w:eastAsia="仿宋" w:cs="仿宋_GB2312"/>
          <w:b/>
          <w:bCs/>
          <w:color w:val="000000" w:themeColor="text1"/>
          <w:kern w:val="0"/>
          <w:sz w:val="30"/>
          <w:szCs w:val="30"/>
          <w:lang w:val="en-US" w:eastAsia="zh-CN"/>
          <w14:textFill>
            <w14:solidFill>
              <w14:schemeClr w14:val="tx1"/>
            </w14:solidFill>
          </w14:textFill>
        </w:rPr>
        <w:t>五、特等奖答辩</w:t>
      </w:r>
      <w:bookmarkStart w:id="2" w:name="_GoBack"/>
      <w:bookmarkEnd w:id="2"/>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本次总决赛特等奖将根据6月1日线上现场答辩情况筛选本科及专科若干团队于6月2日进行特等线上答辩。</w:t>
      </w:r>
    </w:p>
    <w:p>
      <w:pPr>
        <w:numPr>
          <w:ilvl w:val="0"/>
          <w:numId w:val="0"/>
        </w:numPr>
        <w:tabs>
          <w:tab w:val="left" w:pos="5670"/>
        </w:tabs>
        <w:rPr>
          <w:rFonts w:hint="eastAsia" w:ascii="仿宋" w:hAnsi="仿宋" w:eastAsia="仿宋" w:cs="仿宋_GB2312"/>
          <w:b/>
          <w:bCs/>
          <w:color w:val="000000" w:themeColor="text1"/>
          <w:kern w:val="0"/>
          <w:sz w:val="30"/>
          <w:szCs w:val="30"/>
          <w:lang w:val="en-US" w:eastAsia="zh-CN"/>
          <w14:textFill>
            <w14:solidFill>
              <w14:schemeClr w14:val="tx1"/>
            </w14:solidFill>
          </w14:textFill>
        </w:rPr>
      </w:pPr>
      <w:r>
        <w:rPr>
          <w:rFonts w:hint="eastAsia" w:ascii="仿宋" w:hAnsi="仿宋" w:eastAsia="仿宋" w:cs="仿宋_GB2312"/>
          <w:b/>
          <w:bCs/>
          <w:color w:val="000000" w:themeColor="text1"/>
          <w:kern w:val="0"/>
          <w:sz w:val="30"/>
          <w:szCs w:val="30"/>
          <w:lang w:val="en-US" w:eastAsia="zh-CN"/>
          <w14:textFill>
            <w14:solidFill>
              <w14:schemeClr w14:val="tx1"/>
            </w14:solidFill>
          </w14:textFill>
        </w:rPr>
        <w:t>六、线上答辩及要求</w:t>
      </w:r>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1. 晋级总决赛团队代表社科奖大赛整体形象和参赛学生整体水平，请各团队成员着装统一。</w:t>
      </w:r>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2.每支团队10分钟用于阐述策划案中心思想及创意点,5至10 分钟用于评委提问点评。请参赛团队积极准备，充分尽情展示参赛以来营销思路、实践方法、独到见解和风采故事。每支团队的答辩时间可能会根据实际情况有所变动，请参加答辩的同学</w:t>
      </w:r>
    </w:p>
    <w:p>
      <w:pPr>
        <w:numPr>
          <w:ilvl w:val="0"/>
          <w:numId w:val="0"/>
        </w:numPr>
        <w:tabs>
          <w:tab w:val="left" w:pos="5670"/>
        </w:tabs>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保持手机、网络畅通。</w:t>
      </w:r>
    </w:p>
    <w:p>
      <w:pPr>
        <w:numPr>
          <w:ilvl w:val="0"/>
          <w:numId w:val="0"/>
        </w:numPr>
        <w:tabs>
          <w:tab w:val="left" w:pos="5670"/>
        </w:tabs>
        <w:rPr>
          <w:rFonts w:hint="eastAsia" w:ascii="仿宋" w:hAnsi="仿宋" w:eastAsia="仿宋" w:cs="仿宋_GB2312"/>
          <w:b/>
          <w:bCs/>
          <w:color w:val="000000" w:themeColor="text1"/>
          <w:kern w:val="0"/>
          <w:sz w:val="30"/>
          <w:szCs w:val="30"/>
          <w:lang w:val="en-US" w:eastAsia="zh-CN"/>
          <w14:textFill>
            <w14:solidFill>
              <w14:schemeClr w14:val="tx1"/>
            </w14:solidFill>
          </w14:textFill>
        </w:rPr>
      </w:pPr>
      <w:r>
        <w:rPr>
          <w:rFonts w:hint="eastAsia" w:ascii="仿宋" w:hAnsi="仿宋" w:eastAsia="仿宋" w:cs="仿宋_GB2312"/>
          <w:b/>
          <w:bCs/>
          <w:color w:val="000000" w:themeColor="text1"/>
          <w:kern w:val="0"/>
          <w:sz w:val="30"/>
          <w:szCs w:val="30"/>
          <w:lang w:val="en-US" w:eastAsia="zh-CN"/>
          <w14:textFill>
            <w14:solidFill>
              <w14:schemeClr w14:val="tx1"/>
            </w14:solidFill>
          </w14:textFill>
        </w:rPr>
        <w:t>七、教师及优秀团队奖项申请:见附件3</w:t>
      </w:r>
    </w:p>
    <w:p>
      <w:pPr>
        <w:numPr>
          <w:ilvl w:val="0"/>
          <w:numId w:val="0"/>
        </w:numPr>
        <w:tabs>
          <w:tab w:val="left" w:pos="5670"/>
        </w:tabs>
        <w:rPr>
          <w:rFonts w:hint="eastAsia" w:ascii="仿宋" w:hAnsi="仿宋" w:eastAsia="仿宋" w:cs="仿宋_GB2312"/>
          <w:b/>
          <w:bCs/>
          <w:color w:val="000000" w:themeColor="text1"/>
          <w:kern w:val="0"/>
          <w:sz w:val="30"/>
          <w:szCs w:val="30"/>
          <w:lang w:val="en-US" w:eastAsia="zh-CN"/>
          <w14:textFill>
            <w14:solidFill>
              <w14:schemeClr w14:val="tx1"/>
            </w14:solidFill>
          </w14:textFill>
        </w:rPr>
      </w:pPr>
      <w:r>
        <w:rPr>
          <w:rFonts w:hint="eastAsia" w:ascii="仿宋" w:hAnsi="仿宋" w:eastAsia="仿宋" w:cs="仿宋_GB2312"/>
          <w:b/>
          <w:bCs/>
          <w:color w:val="000000" w:themeColor="text1"/>
          <w:kern w:val="0"/>
          <w:sz w:val="30"/>
          <w:szCs w:val="30"/>
          <w:lang w:val="en-US" w:eastAsia="zh-CN"/>
          <w14:textFill>
            <w14:solidFill>
              <w14:schemeClr w14:val="tx1"/>
            </w14:solidFill>
          </w14:textFill>
        </w:rPr>
        <w:t>八、监委、评委及议程</w:t>
      </w:r>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本次总决赛监督委员会、评审委员会名单及总决赛当天议程会随后发布，请密切关注社科奖大赛官网信息。</w:t>
      </w:r>
    </w:p>
    <w:p>
      <w:pPr>
        <w:numPr>
          <w:ilvl w:val="0"/>
          <w:numId w:val="0"/>
        </w:numPr>
        <w:tabs>
          <w:tab w:val="left" w:pos="5670"/>
        </w:tabs>
        <w:rPr>
          <w:rFonts w:hint="eastAsia" w:ascii="仿宋" w:hAnsi="仿宋" w:eastAsia="仿宋" w:cs="仿宋_GB2312"/>
          <w:b/>
          <w:bCs/>
          <w:color w:val="000000" w:themeColor="text1"/>
          <w:kern w:val="0"/>
          <w:sz w:val="30"/>
          <w:szCs w:val="30"/>
          <w:lang w:val="en-US" w:eastAsia="zh-CN"/>
          <w14:textFill>
            <w14:solidFill>
              <w14:schemeClr w14:val="tx1"/>
            </w14:solidFill>
          </w14:textFill>
        </w:rPr>
      </w:pPr>
      <w:r>
        <w:rPr>
          <w:rFonts w:hint="eastAsia" w:ascii="仿宋" w:hAnsi="仿宋" w:eastAsia="仿宋" w:cs="仿宋_GB2312"/>
          <w:b/>
          <w:bCs/>
          <w:color w:val="000000" w:themeColor="text1"/>
          <w:kern w:val="0"/>
          <w:sz w:val="30"/>
          <w:szCs w:val="30"/>
          <w:lang w:val="en-US" w:eastAsia="zh-CN"/>
          <w14:textFill>
            <w14:solidFill>
              <w14:schemeClr w14:val="tx1"/>
            </w14:solidFill>
          </w14:textFill>
        </w:rPr>
        <w:t>九、奖金及荣誉证书</w:t>
      </w:r>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1.本次总决赛所有获奖团队奖金由本届大赛战略合作伙伴提供并以转账形式发放，大赛组委会监督执行。</w:t>
      </w:r>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2.本届大赛所有获奖证书等将于15个工作日内邮寄，获奖信息以官网组队信息为准。</w:t>
      </w:r>
    </w:p>
    <w:p>
      <w:pPr>
        <w:numPr>
          <w:ilvl w:val="0"/>
          <w:numId w:val="0"/>
        </w:numPr>
        <w:tabs>
          <w:tab w:val="left" w:pos="5670"/>
        </w:tabs>
        <w:ind w:firstLine="600" w:firstLineChars="200"/>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pPr>
      <w:bookmarkStart w:id="1" w:name="OLE_LINK1"/>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 xml:space="preserve">附件 2: </w:t>
      </w:r>
      <w:bookmarkEnd w:id="1"/>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答辩分组表</w:t>
      </w:r>
    </w:p>
    <w:p>
      <w:pPr>
        <w:numPr>
          <w:ilvl w:val="0"/>
          <w:numId w:val="0"/>
        </w:numPr>
        <w:tabs>
          <w:tab w:val="left" w:pos="5670"/>
        </w:tabs>
        <w:ind w:firstLine="600" w:firstLineChars="200"/>
        <w:rPr>
          <w:rFonts w:hint="eastAsia" w:ascii="仿宋" w:hAnsi="仿宋" w:eastAsia="仿宋" w:cs="仿宋_GB2312"/>
          <w:color w:val="000000" w:themeColor="text1"/>
          <w:kern w:val="0"/>
          <w:sz w:val="30"/>
          <w:szCs w:val="30"/>
          <w14:textFill>
            <w14:solidFill>
              <w14:schemeClr w14:val="tx1"/>
            </w14:solidFill>
          </w14:textFill>
        </w:rPr>
      </w:pPr>
      <w:r>
        <w:rPr>
          <w:rFonts w:hint="eastAsia" w:ascii="仿宋" w:hAnsi="仿宋" w:eastAsia="仿宋" w:cs="仿宋_GB2312"/>
          <w:b w:val="0"/>
          <w:bCs w:val="0"/>
          <w:color w:val="000000" w:themeColor="text1"/>
          <w:kern w:val="0"/>
          <w:sz w:val="30"/>
          <w:szCs w:val="30"/>
          <w:lang w:val="en-US" w:eastAsia="zh-CN"/>
          <w14:textFill>
            <w14:solidFill>
              <w14:schemeClr w14:val="tx1"/>
            </w14:solidFill>
          </w14:textFill>
        </w:rPr>
        <w:t>附件 3: 教师及优秀团队奖项申请</w:t>
      </w:r>
    </w:p>
    <w:p>
      <w:pPr>
        <w:tabs>
          <w:tab w:val="left" w:pos="5670"/>
        </w:tabs>
        <w:ind w:firstLine="3900" w:firstLineChars="1300"/>
        <w:rPr>
          <w:rFonts w:ascii="仿宋" w:hAnsi="仿宋" w:eastAsia="仿宋" w:cs="仿宋_GB2312"/>
          <w:color w:val="000000" w:themeColor="text1"/>
          <w:kern w:val="0"/>
          <w:sz w:val="30"/>
          <w:szCs w:val="30"/>
          <w14:textFill>
            <w14:solidFill>
              <w14:schemeClr w14:val="tx1"/>
            </w14:solidFill>
          </w14:textFill>
        </w:rPr>
      </w:pPr>
      <w:r>
        <w:rPr>
          <w:rFonts w:hint="eastAsia" w:ascii="仿宋" w:hAnsi="仿宋" w:eastAsia="仿宋" w:cs="仿宋_GB2312"/>
          <w:color w:val="000000" w:themeColor="text1"/>
          <w:kern w:val="0"/>
          <w:sz w:val="30"/>
          <w:szCs w:val="30"/>
          <w14:textFill>
            <w14:solidFill>
              <w14:schemeClr w14:val="tx1"/>
            </w14:solidFill>
          </w14:textFill>
        </w:rPr>
        <w:t>全国高校</w:t>
      </w:r>
      <w:r>
        <w:rPr>
          <w:rFonts w:ascii="仿宋" w:hAnsi="仿宋" w:eastAsia="仿宋" w:cs="仿宋_GB2312"/>
          <w:color w:val="000000" w:themeColor="text1"/>
          <w:kern w:val="0"/>
          <w:sz w:val="30"/>
          <w:szCs w:val="30"/>
          <w14:textFill>
            <w14:solidFill>
              <w14:schemeClr w14:val="tx1"/>
            </w14:solidFill>
          </w14:textFill>
        </w:rPr>
        <w:t>市场营销大赛组委会</w:t>
      </w:r>
    </w:p>
    <w:p>
      <w:r>
        <w:rPr>
          <w:rFonts w:hint="eastAsia" w:ascii="仿宋" w:hAnsi="仿宋" w:eastAsia="仿宋" w:cs="仿宋_GB2312"/>
          <w:color w:val="000000" w:themeColor="text1"/>
          <w:kern w:val="0"/>
          <w:sz w:val="30"/>
          <w:szCs w:val="30"/>
          <w14:textFill>
            <w14:solidFill>
              <w14:schemeClr w14:val="tx1"/>
            </w14:solidFill>
          </w14:textFill>
        </w:rPr>
        <w:t xml:space="preserve">                          </w:t>
      </w:r>
      <w:r>
        <w:rPr>
          <w:rFonts w:ascii="仿宋" w:hAnsi="仿宋" w:eastAsia="仿宋" w:cs="仿宋_GB2312"/>
          <w:color w:val="000000" w:themeColor="text1"/>
          <w:kern w:val="0"/>
          <w:sz w:val="30"/>
          <w:szCs w:val="30"/>
          <w14:textFill>
            <w14:solidFill>
              <w14:schemeClr w14:val="tx1"/>
            </w14:solidFill>
          </w14:textFill>
        </w:rPr>
        <w:t xml:space="preserve"> </w:t>
      </w:r>
      <w:r>
        <w:rPr>
          <w:rFonts w:hint="eastAsia" w:ascii="仿宋" w:hAnsi="仿宋" w:eastAsia="仿宋" w:cs="仿宋_GB2312"/>
          <w:color w:val="000000" w:themeColor="text1"/>
          <w:kern w:val="0"/>
          <w:sz w:val="30"/>
          <w:szCs w:val="30"/>
          <w:lang w:val="en-US" w:eastAsia="zh-CN"/>
          <w14:textFill>
            <w14:solidFill>
              <w14:schemeClr w14:val="tx1"/>
            </w14:solidFill>
          </w14:textFill>
        </w:rPr>
        <w:t xml:space="preserve">     2024</w:t>
      </w:r>
      <w:r>
        <w:rPr>
          <w:rFonts w:hint="eastAsia" w:ascii="仿宋" w:hAnsi="仿宋" w:eastAsia="仿宋" w:cs="仿宋_GB2312"/>
          <w:color w:val="000000" w:themeColor="text1"/>
          <w:kern w:val="0"/>
          <w:sz w:val="30"/>
          <w:szCs w:val="30"/>
          <w14:textFill>
            <w14:solidFill>
              <w14:schemeClr w14:val="tx1"/>
            </w14:solidFill>
          </w14:textFill>
        </w:rPr>
        <w:t>年</w:t>
      </w:r>
      <w:r>
        <w:rPr>
          <w:rFonts w:hint="eastAsia" w:ascii="仿宋" w:hAnsi="仿宋" w:eastAsia="仿宋" w:cs="仿宋_GB2312"/>
          <w:color w:val="000000" w:themeColor="text1"/>
          <w:kern w:val="0"/>
          <w:sz w:val="30"/>
          <w:szCs w:val="30"/>
          <w:lang w:val="en-US" w:eastAsia="zh-CN"/>
          <w14:textFill>
            <w14:solidFill>
              <w14:schemeClr w14:val="tx1"/>
            </w14:solidFill>
          </w14:textFill>
        </w:rPr>
        <w:t>5</w:t>
      </w:r>
      <w:r>
        <w:rPr>
          <w:rFonts w:hint="eastAsia" w:ascii="仿宋" w:hAnsi="仿宋" w:eastAsia="仿宋" w:cs="仿宋_GB2312"/>
          <w:color w:val="000000" w:themeColor="text1"/>
          <w:kern w:val="0"/>
          <w:sz w:val="30"/>
          <w:szCs w:val="30"/>
          <w14:textFill>
            <w14:solidFill>
              <w14:schemeClr w14:val="tx1"/>
            </w14:solidFill>
          </w14:textFill>
        </w:rPr>
        <w:t>月</w:t>
      </w:r>
      <w:r>
        <w:rPr>
          <w:rFonts w:hint="eastAsia" w:ascii="仿宋" w:hAnsi="仿宋" w:eastAsia="仿宋" w:cs="仿宋_GB2312"/>
          <w:color w:val="000000" w:themeColor="text1"/>
          <w:kern w:val="0"/>
          <w:sz w:val="30"/>
          <w:szCs w:val="30"/>
          <w:lang w:val="en-US" w:eastAsia="zh-CN"/>
          <w14:textFill>
            <w14:solidFill>
              <w14:schemeClr w14:val="tx1"/>
            </w14:solidFill>
          </w14:textFill>
        </w:rPr>
        <w:t>24</w:t>
      </w:r>
      <w:r>
        <w:rPr>
          <w:rFonts w:hint="eastAsia" w:ascii="仿宋" w:hAnsi="仿宋" w:eastAsia="仿宋" w:cs="仿宋_GB2312"/>
          <w:color w:val="000000" w:themeColor="text1"/>
          <w:kern w:val="0"/>
          <w:sz w:val="30"/>
          <w:szCs w:val="30"/>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DD2C44"/>
    <w:multiLevelType w:val="singleLevel"/>
    <w:tmpl w:val="6BDD2C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YjdjZTJkNWEyODA1ZTZmOGQ0Y2UzNzc0NjI5ZmYifQ=="/>
  </w:docVars>
  <w:rsids>
    <w:rsidRoot w:val="00000000"/>
    <w:rsid w:val="00661709"/>
    <w:rsid w:val="01A249C3"/>
    <w:rsid w:val="01D803E5"/>
    <w:rsid w:val="05B47256"/>
    <w:rsid w:val="06023C82"/>
    <w:rsid w:val="06DF3FC3"/>
    <w:rsid w:val="087F5A5E"/>
    <w:rsid w:val="093A3733"/>
    <w:rsid w:val="0BBE689D"/>
    <w:rsid w:val="0BCB720C"/>
    <w:rsid w:val="0D1B1ACD"/>
    <w:rsid w:val="0F130CAE"/>
    <w:rsid w:val="113B44EC"/>
    <w:rsid w:val="11812847"/>
    <w:rsid w:val="11F748B7"/>
    <w:rsid w:val="139B74C4"/>
    <w:rsid w:val="14060DE1"/>
    <w:rsid w:val="15A9411A"/>
    <w:rsid w:val="18876269"/>
    <w:rsid w:val="1C7134B8"/>
    <w:rsid w:val="1E0565AE"/>
    <w:rsid w:val="1F446C62"/>
    <w:rsid w:val="21CB5418"/>
    <w:rsid w:val="22721D38"/>
    <w:rsid w:val="27335FDD"/>
    <w:rsid w:val="27D112AE"/>
    <w:rsid w:val="2A510485"/>
    <w:rsid w:val="2EA03D70"/>
    <w:rsid w:val="31307046"/>
    <w:rsid w:val="314D0CC2"/>
    <w:rsid w:val="320C2518"/>
    <w:rsid w:val="32FE389F"/>
    <w:rsid w:val="331C49CA"/>
    <w:rsid w:val="33F46A50"/>
    <w:rsid w:val="36A302BA"/>
    <w:rsid w:val="379435DA"/>
    <w:rsid w:val="39CC2C38"/>
    <w:rsid w:val="39F01A68"/>
    <w:rsid w:val="3B90705F"/>
    <w:rsid w:val="3CDE3DFA"/>
    <w:rsid w:val="3CE21152"/>
    <w:rsid w:val="3E1C2E2C"/>
    <w:rsid w:val="40832E14"/>
    <w:rsid w:val="40EA5463"/>
    <w:rsid w:val="43BB6C43"/>
    <w:rsid w:val="44FC5765"/>
    <w:rsid w:val="479003E6"/>
    <w:rsid w:val="4DDC25D7"/>
    <w:rsid w:val="4F367AC5"/>
    <w:rsid w:val="527E5A0B"/>
    <w:rsid w:val="5285323E"/>
    <w:rsid w:val="52AB1D72"/>
    <w:rsid w:val="52C2246A"/>
    <w:rsid w:val="52CA0C50"/>
    <w:rsid w:val="536746F1"/>
    <w:rsid w:val="555B64D8"/>
    <w:rsid w:val="57193F55"/>
    <w:rsid w:val="59044790"/>
    <w:rsid w:val="5A1629CD"/>
    <w:rsid w:val="5AFD593B"/>
    <w:rsid w:val="5B370E4D"/>
    <w:rsid w:val="5C82434A"/>
    <w:rsid w:val="5F7E529D"/>
    <w:rsid w:val="610F1D88"/>
    <w:rsid w:val="61FC06FB"/>
    <w:rsid w:val="623948CC"/>
    <w:rsid w:val="642A59F3"/>
    <w:rsid w:val="660E4EA0"/>
    <w:rsid w:val="66106E6A"/>
    <w:rsid w:val="66860EDB"/>
    <w:rsid w:val="669058B5"/>
    <w:rsid w:val="66A5053E"/>
    <w:rsid w:val="675E7269"/>
    <w:rsid w:val="67DF7076"/>
    <w:rsid w:val="67FC1454"/>
    <w:rsid w:val="682D7860"/>
    <w:rsid w:val="6B79100E"/>
    <w:rsid w:val="6B88111B"/>
    <w:rsid w:val="6CF55870"/>
    <w:rsid w:val="6D9406BD"/>
    <w:rsid w:val="6D94212F"/>
    <w:rsid w:val="6F4656AB"/>
    <w:rsid w:val="6FFF7A41"/>
    <w:rsid w:val="71525C30"/>
    <w:rsid w:val="726522EC"/>
    <w:rsid w:val="72F84F0E"/>
    <w:rsid w:val="748922C2"/>
    <w:rsid w:val="75A86778"/>
    <w:rsid w:val="76120095"/>
    <w:rsid w:val="761738FD"/>
    <w:rsid w:val="76481D09"/>
    <w:rsid w:val="7671125F"/>
    <w:rsid w:val="77D24421"/>
    <w:rsid w:val="77DF669D"/>
    <w:rsid w:val="798B6ADC"/>
    <w:rsid w:val="7A41719B"/>
    <w:rsid w:val="7A592736"/>
    <w:rsid w:val="7BC65BA9"/>
    <w:rsid w:val="7CD26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662</Words>
  <Characters>690</Characters>
  <Lines>0</Lines>
  <Paragraphs>0</Paragraphs>
  <TotalTime>6</TotalTime>
  <ScaleCrop>false</ScaleCrop>
  <LinksUpToDate>false</LinksUpToDate>
  <CharactersWithSpaces>730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2023-09-18T02:25:00Z</dcterms:created>
  <dc:creator>zhijin</dc:creator>
  <cp:lastModifiedBy>Rucer</cp:lastModifiedBy>
  <dcterms:modified xsi:type="dcterms:W3CDTF">2024-05-24T08:52:06Z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37E2BAB47EA94ADC91AA8BCAD99EB57A_12</vt:lpwstr>
  </property>
</Properties>
</file>